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C694" w14:textId="5E2EA0F7" w:rsidR="00F4751E" w:rsidRDefault="00F4751E" w:rsidP="00F4751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Основные положения Учетной политики МБУК «СКЦ «Приморский» на 2021 год,</w:t>
      </w:r>
    </w:p>
    <w:p w14:paraId="3DE20E21" w14:textId="79BE25F0" w:rsidR="00F4751E" w:rsidRDefault="00F4751E" w:rsidP="00F4751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Утвержденные приказом от 30.12.2020 № 92</w:t>
      </w:r>
    </w:p>
    <w:p w14:paraId="18F0EBE0" w14:textId="77777777" w:rsidR="00F4751E" w:rsidRDefault="00F4751E" w:rsidP="00F633EB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</w:rPr>
      </w:pPr>
    </w:p>
    <w:p w14:paraId="24F7ECF9" w14:textId="20DC4FC4" w:rsidR="00402EB2" w:rsidRPr="00F633EB" w:rsidRDefault="00F4751E" w:rsidP="00F633EB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Учетная политика</w:t>
      </w:r>
      <w:r w:rsidR="00402EB2" w:rsidRPr="00F633EB">
        <w:rPr>
          <w:rFonts w:ascii="Times New Roman" w:hAnsi="Times New Roman" w:cs="Times New Roman"/>
          <w:color w:val="000000"/>
        </w:rPr>
        <w:t xml:space="preserve"> МБУК «СКЦ «Приморский» (далее – учреждение) разработана в соответствии:</w:t>
      </w:r>
    </w:p>
    <w:p w14:paraId="564AD74F" w14:textId="77777777" w:rsidR="00402EB2" w:rsidRPr="00F633EB" w:rsidRDefault="00402EB2" w:rsidP="00F633E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</w:p>
    <w:p w14:paraId="1032DD26" w14:textId="77777777" w:rsidR="00402EB2" w:rsidRPr="00F633EB" w:rsidRDefault="00402EB2" w:rsidP="00F633E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приказом Минфина от 16.12.2010 № 174н «Об утверждении Плана счетов бухгалтерского учета бюджетных учреждений и Инструкции по его применению</w:t>
      </w:r>
      <w:r w:rsidRPr="00F633EB">
        <w:rPr>
          <w:rFonts w:ascii="Times New Roman" w:hAnsi="Times New Roman" w:cs="Times New Roman"/>
          <w:i/>
          <w:iCs/>
          <w:color w:val="000000"/>
        </w:rPr>
        <w:t>»</w:t>
      </w:r>
      <w:r w:rsidRPr="00F633EB">
        <w:rPr>
          <w:rFonts w:ascii="Times New Roman" w:hAnsi="Times New Roman" w:cs="Times New Roman"/>
          <w:color w:val="000000"/>
        </w:rPr>
        <w:t xml:space="preserve"> (далее – Инструкция № 174н);</w:t>
      </w:r>
    </w:p>
    <w:p w14:paraId="0A5AC06B" w14:textId="77777777" w:rsidR="00402EB2" w:rsidRPr="00F633EB" w:rsidRDefault="00402EB2" w:rsidP="00F633E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56947288" w14:textId="77777777" w:rsidR="00402EB2" w:rsidRPr="00F633EB" w:rsidRDefault="00402EB2" w:rsidP="00F633E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17FAA4F3" w14:textId="77777777" w:rsidR="00402EB2" w:rsidRPr="00F633EB" w:rsidRDefault="00402EB2" w:rsidP="00F633E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68D3756A" w14:textId="6F336CFE" w:rsidR="00F4751E" w:rsidRPr="00F4751E" w:rsidRDefault="00402EB2" w:rsidP="00F4751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mirrorIndents/>
        <w:rPr>
          <w:rFonts w:ascii="Times New Roman" w:hAnsi="Times New Roman" w:cs="Times New Roman"/>
          <w:color w:val="000000"/>
        </w:rPr>
      </w:pPr>
      <w:r w:rsidRPr="00F633EB">
        <w:rPr>
          <w:rFonts w:ascii="Times New Roman" w:hAnsi="Times New Roman" w:cs="Times New Roman"/>
          <w:color w:val="000000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</w:t>
      </w:r>
      <w:r w:rsidR="00F4751E">
        <w:rPr>
          <w:rFonts w:ascii="Times New Roman" w:hAnsi="Times New Roman" w:cs="Times New Roman"/>
          <w:color w:val="000000"/>
        </w:rPr>
        <w:t>,</w:t>
      </w:r>
      <w:r w:rsidR="00F4751E" w:rsidRPr="00F4751E">
        <w:rPr>
          <w:rFonts w:cstheme="minorHAnsi"/>
          <w:color w:val="000000"/>
        </w:rPr>
        <w:t xml:space="preserve"> </w:t>
      </w:r>
      <w:r w:rsidR="00F4751E" w:rsidRPr="00F4751E">
        <w:rPr>
          <w:rFonts w:ascii="Times New Roman" w:hAnsi="Times New Roman" w:cs="Times New Roman"/>
          <w:color w:val="000000"/>
        </w:rPr>
        <w:t>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14:paraId="0596B414" w14:textId="3752CE71" w:rsidR="00402EB2" w:rsidRPr="00F633EB" w:rsidRDefault="00402EB2" w:rsidP="00F4751E">
      <w:pPr>
        <w:spacing w:before="100" w:beforeAutospacing="1" w:after="100" w:afterAutospacing="1" w:line="240" w:lineRule="auto"/>
        <w:ind w:left="420" w:right="180"/>
        <w:contextualSpacing/>
        <w:mirrorIndents/>
        <w:rPr>
          <w:rFonts w:ascii="Times New Roman" w:hAnsi="Times New Roman" w:cs="Times New Roman"/>
          <w:color w:val="000000"/>
        </w:rPr>
      </w:pPr>
    </w:p>
    <w:p w14:paraId="018726C8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 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Общие положения:</w:t>
      </w:r>
    </w:p>
    <w:p w14:paraId="38E76D05" w14:textId="77777777" w:rsidR="009239F4" w:rsidRPr="00F633EB" w:rsidRDefault="009239F4" w:rsidP="00F63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ухгалтерский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 ведется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бухгалтерией,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возглавляемыми главным бухгалтером. Сотрудники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бухгалтерии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руководствуются в своей работе должностными инструкциями.</w:t>
      </w:r>
    </w:p>
    <w:p w14:paraId="214E32A9" w14:textId="77777777" w:rsidR="009239F4" w:rsidRPr="00F633EB" w:rsidRDefault="009239F4" w:rsidP="00F63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Ответственным за ведение б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ухгалтерского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учета в учреждении является главный бухгалтер. </w:t>
      </w:r>
    </w:p>
    <w:p w14:paraId="4FFA342B" w14:textId="29034FB1" w:rsidR="009239F4" w:rsidRPr="00F633EB" w:rsidRDefault="009239F4" w:rsidP="00F63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Все операции, проводимые в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Учреждении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, оформляются первичными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документами, утвержденные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Приказом Минфина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r w:rsidR="00F4751E" w:rsidRPr="00F633EB">
        <w:rPr>
          <w:rFonts w:ascii="Times New Roman" w:eastAsia="Times New Roman" w:hAnsi="Times New Roman" w:cs="Times New Roman"/>
          <w:color w:val="383838"/>
          <w:lang w:eastAsia="ru-RU"/>
        </w:rPr>
        <w:t>), органами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</w:p>
    <w:p w14:paraId="4CB026FE" w14:textId="77777777" w:rsidR="009239F4" w:rsidRPr="00F633EB" w:rsidRDefault="009239F4" w:rsidP="00F63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ухгалтерский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 ведется по Плану счетов, предусмотренному Инструкцией от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1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6.12.10 №1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74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14:paraId="1CD4C228" w14:textId="79DE5E72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Организация б</w:t>
      </w:r>
      <w:r w:rsidR="00FC133D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ухгалтерского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 xml:space="preserve"> учета:</w:t>
      </w:r>
    </w:p>
    <w:p w14:paraId="292930E1" w14:textId="7777777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ухгалтерский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 У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чреждении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возглавляет главный бухгалтер. Главный бухгалтер подчиняется непосредственно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директору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и несет ответственность за соблюдение учетной политики и ведение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бухгалтерского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учета, своевременное и достоверное представление бухгалтерской отчетности.</w:t>
      </w:r>
    </w:p>
    <w:p w14:paraId="2C44F1FE" w14:textId="7777777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Без подписи главного бухгалтера денежные и расчетно-финансовые документы, и кредитные обязательства считать недействительными и не принимать к исполнению. При этом при дефиците средств первоочередными являются расчеты с физическими лицами (по заработной плате).</w:t>
      </w:r>
    </w:p>
    <w:p w14:paraId="6C047756" w14:textId="75F59854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Право на получение денежных сумм в подотчет имеют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лица, состоящие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 штате </w:t>
      </w:r>
      <w:r w:rsidR="00FA6E9F" w:rsidRPr="00F633EB">
        <w:rPr>
          <w:rFonts w:ascii="Times New Roman" w:eastAsia="Times New Roman" w:hAnsi="Times New Roman" w:cs="Times New Roman"/>
          <w:color w:val="383838"/>
          <w:lang w:eastAsia="ru-RU"/>
        </w:rPr>
        <w:t>учреждения,</w:t>
      </w:r>
      <w:r w:rsidR="00FC133D" w:rsidRPr="00FC133D">
        <w:rPr>
          <w:rFonts w:cstheme="minorHAnsi"/>
          <w:color w:val="000000"/>
        </w:rPr>
        <w:t xml:space="preserve"> </w:t>
      </w:r>
      <w:r w:rsidR="00FC133D" w:rsidRPr="002B1804">
        <w:rPr>
          <w:rFonts w:cstheme="minorHAnsi"/>
          <w:color w:val="000000"/>
        </w:rPr>
        <w:t>а также лицам, которые не состоят в штате, на основании отдельного приказа руководителя.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Выдача наличных денежных средств подотчет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осуществляется согласно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Порядку выдачи наличных денежных средств в подотчет и перечню подотчетных лиц, утвержденных приказом по 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учреждению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. Сумма 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lastRenderedPageBreak/>
        <w:t>средств, выданных в подотчет на хозяйственные расходы, определяется согласно Указанию Банка России от 11.03.2014 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Денежные средства на хозяйственные нужды выдаются в подотчет на срок не более 10 дней. Выдача денежных средств производится подотчетным лицам, не имеющим задолженность по ранее выданным суммам.</w:t>
      </w:r>
    </w:p>
    <w:p w14:paraId="026304D3" w14:textId="7A69DA8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Особенности порядка направления сотрудников учреждения в служебные командировки на территории Российской Федерации, а также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возмещение расходов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по проезду и найму жилого помещения определяются Положением «О служебных командировках»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14:paraId="2BBCB964" w14:textId="7777777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В целях обеспечения достоверности данных бухгалтерского учета и отчетности проводить инвентаризацию имущества и финансовых обязательств в соответствии с положениями Приказа Минфина РФ от 13.06.1995 №49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 при смене материально ответственных лиц.</w:t>
      </w:r>
    </w:p>
    <w:p w14:paraId="022107A7" w14:textId="7777777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Состав инвентаризационной комиссии и сроки проведения инвентаризации ежегодно утверждается приказом учреждения.</w:t>
      </w:r>
    </w:p>
    <w:p w14:paraId="482F3F60" w14:textId="77777777" w:rsidR="009239F4" w:rsidRPr="00F633EB" w:rsidRDefault="009239F4" w:rsidP="00F63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Система внутреннего финансового контроля У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осуществляется в соответствии с Положением о внутреннем контроле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14:paraId="579F1813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Методика бухгалтерского учета:</w:t>
      </w:r>
    </w:p>
    <w:p w14:paraId="0D6B655A" w14:textId="51707FB2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Основные средства</w:t>
      </w:r>
      <w:r w:rsidR="00FC133D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.</w:t>
      </w:r>
    </w:p>
    <w:p w14:paraId="6C1BD601" w14:textId="77777777" w:rsidR="009239F4" w:rsidRPr="00FC133D" w:rsidRDefault="009239F4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В качестве основных средств принимаются к учету объекты имущества независимо от их стоимости со сроком полезного использования более 12 месяцев (если другое не предусмотрено стандартами), предназначенные для неоднократного или постоянного использования в деятельности учреждения на праве оперативного управления, праве владения по договору аренды или найма, праве пользования по договору безвозмездного пользования. При этом объект должен соответствовать </w:t>
      </w:r>
      <w:hyperlink r:id="rId5" w:anchor="/document/117/39401/qwert26/" w:history="1">
        <w:r w:rsidRPr="00FC133D">
          <w:rPr>
            <w:rFonts w:ascii="Times New Roman" w:eastAsia="Times New Roman" w:hAnsi="Times New Roman" w:cs="Times New Roman"/>
            <w:lang w:eastAsia="ru-RU"/>
          </w:rPr>
          <w:t>критериям признания ОС</w:t>
        </w:r>
      </w:hyperlink>
      <w:r w:rsidRPr="00FC133D">
        <w:rPr>
          <w:rFonts w:ascii="Times New Roman" w:eastAsia="Times New Roman" w:hAnsi="Times New Roman" w:cs="Times New Roman"/>
          <w:lang w:eastAsia="ru-RU"/>
        </w:rPr>
        <w:t>.</w:t>
      </w:r>
    </w:p>
    <w:p w14:paraId="02EDD9EE" w14:textId="77777777" w:rsidR="009239F4" w:rsidRPr="00F633EB" w:rsidRDefault="009239F4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Учет основных средств на соответствующих счетах Плана счетов б</w:t>
      </w:r>
      <w:r w:rsidR="00402EB2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ухгалтерского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учета ведется в соответствии с требованиями Общероссийского классификатора основных фондов ОК 013-2014, утвержденного приказом Росстандарта от 12 декабря 2014 г. № 2018-ст.</w:t>
      </w:r>
    </w:p>
    <w:p w14:paraId="79CE32C9" w14:textId="363E9341" w:rsidR="009239F4" w:rsidRPr="00F633EB" w:rsidRDefault="00FC133D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>
        <w:rPr>
          <w:rFonts w:ascii="Times New Roman" w:eastAsia="Times New Roman" w:hAnsi="Times New Roman" w:cs="Times New Roman"/>
          <w:color w:val="383838"/>
          <w:lang w:eastAsia="ru-RU"/>
        </w:rPr>
        <w:t>С</w:t>
      </w:r>
      <w:r w:rsidR="009239F4"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рок полезного использования объектов основных средств устанавливает комиссия по поступлению и выбытию в соответствии </w:t>
      </w:r>
      <w:r w:rsidR="009239F4" w:rsidRPr="00FC133D">
        <w:rPr>
          <w:rFonts w:ascii="Times New Roman" w:eastAsia="Times New Roman" w:hAnsi="Times New Roman" w:cs="Times New Roman"/>
          <w:lang w:eastAsia="ru-RU"/>
        </w:rPr>
        <w:t>с </w:t>
      </w:r>
      <w:hyperlink r:id="rId6" w:anchor="/document/99/420389698/XA00M882MK/" w:tooltip="35. Срок полезного использования объекта основных средств определяется исходя из:" w:history="1">
        <w:r w:rsidR="009239F4" w:rsidRPr="00FC133D">
          <w:rPr>
            <w:rFonts w:ascii="Times New Roman" w:eastAsia="Times New Roman" w:hAnsi="Times New Roman" w:cs="Times New Roman"/>
            <w:lang w:eastAsia="ru-RU"/>
          </w:rPr>
          <w:t>пунктом 35</w:t>
        </w:r>
      </w:hyperlink>
      <w:r w:rsidR="009239F4" w:rsidRPr="00F633EB">
        <w:rPr>
          <w:rFonts w:ascii="Times New Roman" w:eastAsia="Times New Roman" w:hAnsi="Times New Roman" w:cs="Times New Roman"/>
          <w:color w:val="383838"/>
          <w:lang w:eastAsia="ru-RU"/>
        </w:rPr>
        <w:t> Стандарта «Основные средства».</w:t>
      </w:r>
    </w:p>
    <w:p w14:paraId="767F331E" w14:textId="5F65B13D" w:rsidR="009239F4" w:rsidRPr="00F633EB" w:rsidRDefault="009239F4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Начисление амортизации основных средств для б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ухгалтерского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учета и для налогообложения  проводить, исходя из максимального срока полезного использования, установленного для соответствующих групп в соответствии с  классификацией объектов основных средств, утвержденной постановлением Правительства РФ от 01.01.2002г.№1 (с изменениями на 6 июля 2015 года) и письмом Министерства финансов РФ от 13.04.2005г.№02-14-10а/721, а также рекомендаций, содержащихся в документах производителя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.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 Сроки полезного использования основных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средств указываются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 инвентарной карточке учета основных средств. Амортизация основных средств осуществляется линейным способом.</w:t>
      </w:r>
    </w:p>
    <w:p w14:paraId="08D8FE9D" w14:textId="77777777" w:rsidR="009239F4" w:rsidRPr="00F633EB" w:rsidRDefault="009239F4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 (Основание</w:t>
      </w:r>
      <w:r w:rsidRPr="00FC133D">
        <w:rPr>
          <w:rFonts w:ascii="Times New Roman" w:eastAsia="Times New Roman" w:hAnsi="Times New Roman" w:cs="Times New Roman"/>
          <w:lang w:eastAsia="ru-RU"/>
        </w:rPr>
        <w:t>: </w:t>
      </w:r>
      <w:hyperlink r:id="rId7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<w:r w:rsidRPr="00FC133D">
          <w:rPr>
            <w:rFonts w:ascii="Times New Roman" w:eastAsia="Times New Roman" w:hAnsi="Times New Roman" w:cs="Times New Roman"/>
            <w:lang w:eastAsia="ru-RU"/>
          </w:rPr>
          <w:t>пункт 10</w:t>
        </w:r>
      </w:hyperlink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 Стандарта «Основные средства»).</w:t>
      </w:r>
    </w:p>
    <w:p w14:paraId="07AC7221" w14:textId="77777777" w:rsidR="009239F4" w:rsidRPr="00F633EB" w:rsidRDefault="009239F4" w:rsidP="00F63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Инвентаризация имущества и обязательств (в т. ч. числящихся на забалансовых счетах) проводится раз в год перед составлением годовой отчетности, а также в иных случаях, предусмотренных законодательством. Инвентаризацию проводит постоянно действующая инвентаризационная комиссия, состав которой утверждается приказом по учреждению.</w:t>
      </w:r>
    </w:p>
    <w:p w14:paraId="7DA30C17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Материальные запасы.</w:t>
      </w:r>
    </w:p>
    <w:p w14:paraId="7313BFB8" w14:textId="77777777" w:rsidR="009239F4" w:rsidRPr="00F633EB" w:rsidRDefault="009239F4" w:rsidP="00FC13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К материальным запасам относятся:</w:t>
      </w:r>
    </w:p>
    <w:p w14:paraId="57AEEF4D" w14:textId="77777777" w:rsidR="009239F4" w:rsidRPr="00F633EB" w:rsidRDefault="009239F4" w:rsidP="00FC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-предметы, независимо от их стоимости, которые используются в деятельности учреждения не более 12 месяцев;</w:t>
      </w:r>
    </w:p>
    <w:p w14:paraId="6D1F47BE" w14:textId="63DFBE42" w:rsidR="009239F4" w:rsidRDefault="009239F4" w:rsidP="00FC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-предметы, которые используются в деятельности учреждения в течение периода, превышающего 12 месяцев, но не относящиеся к основным средствам в соответствии с ОКОФ.</w:t>
      </w:r>
    </w:p>
    <w:p w14:paraId="1992C7B7" w14:textId="77777777" w:rsidR="00FC133D" w:rsidRPr="00F633EB" w:rsidRDefault="00FC133D" w:rsidP="00FC1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</w:p>
    <w:p w14:paraId="006B8337" w14:textId="77777777" w:rsidR="00F4751E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i/>
          <w:iCs/>
          <w:color w:val="383838"/>
          <w:lang w:eastAsia="ru-RU"/>
        </w:rPr>
        <w:t>          </w:t>
      </w:r>
    </w:p>
    <w:p w14:paraId="64103E01" w14:textId="09D30B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i/>
          <w:iCs/>
          <w:color w:val="383838"/>
          <w:lang w:eastAsia="ru-RU"/>
        </w:rPr>
        <w:lastRenderedPageBreak/>
        <w:t>    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Стоимость безвозмездно полученных нефинансовых активов</w:t>
      </w:r>
      <w:r w:rsidR="00FC133D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.</w:t>
      </w:r>
    </w:p>
    <w:p w14:paraId="5E27A17A" w14:textId="77777777" w:rsidR="009239F4" w:rsidRPr="00F633EB" w:rsidRDefault="009239F4" w:rsidP="00F63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Основание</w:t>
      </w:r>
      <w:r w:rsidRPr="00FC133D">
        <w:rPr>
          <w:rFonts w:ascii="Times New Roman" w:eastAsia="Times New Roman" w:hAnsi="Times New Roman" w:cs="Times New Roman"/>
          <w:lang w:eastAsia="ru-RU"/>
        </w:rPr>
        <w:t>: </w:t>
      </w:r>
      <w:hyperlink r:id="rId8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<w:r w:rsidRPr="00FC133D">
          <w:rPr>
            <w:rFonts w:ascii="Times New Roman" w:eastAsia="Times New Roman" w:hAnsi="Times New Roman" w:cs="Times New Roman"/>
            <w:lang w:eastAsia="ru-RU"/>
          </w:rPr>
          <w:t>пункты 52–60</w:t>
        </w:r>
      </w:hyperlink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 Стандарта «Концептуальные основы бухучета и отчетности».</w:t>
      </w:r>
    </w:p>
    <w:p w14:paraId="316A9B7D" w14:textId="2FDC50A1" w:rsidR="009239F4" w:rsidRPr="00F633EB" w:rsidRDefault="009239F4" w:rsidP="00F63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Данные о рыночной цене должны быть подтверждены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документально. В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случаях невозможности документального подтверждения стоимость определяется экспертным путем.</w:t>
      </w:r>
    </w:p>
    <w:p w14:paraId="61DBDFE7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i/>
          <w:iCs/>
          <w:color w:val="383838"/>
          <w:lang w:eastAsia="ru-RU"/>
        </w:rPr>
        <w:t>               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 Дебиторская и кредиторская задолженность</w:t>
      </w:r>
    </w:p>
    <w:p w14:paraId="4B29846C" w14:textId="77777777" w:rsidR="00402EB2" w:rsidRPr="00F633EB" w:rsidRDefault="009239F4" w:rsidP="00F63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Дебиторская задолженность признается нереальной для взыскания в порядке, установленном </w:t>
      </w:r>
      <w:r w:rsidR="00402EB2" w:rsidRPr="00F633EB">
        <w:rPr>
          <w:rFonts w:ascii="Times New Roman" w:hAnsi="Times New Roman" w:cs="Times New Roman"/>
          <w:color w:val="000000"/>
        </w:rPr>
        <w:t>Положением о признании дебиторской задолженности сомнительной и безнадежной к взысканию</w:t>
      </w:r>
      <w:r w:rsidR="00F633EB" w:rsidRPr="00F633EB">
        <w:rPr>
          <w:rFonts w:ascii="Times New Roman" w:hAnsi="Times New Roman" w:cs="Times New Roman"/>
          <w:color w:val="000000"/>
        </w:rPr>
        <w:t>.</w:t>
      </w:r>
    </w:p>
    <w:p w14:paraId="12CA0578" w14:textId="77777777" w:rsidR="009239F4" w:rsidRPr="00F633EB" w:rsidRDefault="009239F4" w:rsidP="00F63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Задолженность, признанная нереальной для взыскания, списывается с балансового учета и отражается на </w:t>
      </w:r>
      <w:hyperlink r:id="rId9" w:anchor="/document/99/902249301/ZA00M6I2MG/" w:tooltip="Счет 04 Задолженность неплатежеспособных дебиторов" w:history="1">
        <w:r w:rsidRPr="00FC133D">
          <w:rPr>
            <w:rFonts w:ascii="Times New Roman" w:eastAsia="Times New Roman" w:hAnsi="Times New Roman" w:cs="Times New Roman"/>
            <w:lang w:eastAsia="ru-RU"/>
          </w:rPr>
          <w:t>забалансовом счете 04</w:t>
        </w:r>
      </w:hyperlink>
      <w:r w:rsidRPr="00FC133D">
        <w:rPr>
          <w:rFonts w:ascii="Times New Roman" w:eastAsia="Times New Roman" w:hAnsi="Times New Roman" w:cs="Times New Roman"/>
          <w:lang w:eastAsia="ru-RU"/>
        </w:rPr>
        <w:t> «З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адолженность неплатежеспособных дебиторов».</w:t>
      </w:r>
    </w:p>
    <w:p w14:paraId="6B408516" w14:textId="77777777" w:rsidR="009239F4" w:rsidRPr="00F633EB" w:rsidRDefault="009239F4" w:rsidP="00F63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Срок исковой давности определяется в соответствии с законодательством РФ.</w:t>
      </w:r>
    </w:p>
    <w:p w14:paraId="253E9B8C" w14:textId="77777777" w:rsidR="009239F4" w:rsidRPr="00F633EB" w:rsidRDefault="009239F4" w:rsidP="00F63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Кредиторская задолженность списывается с баланса отдельно по каждому обязательству (кредитору) (Основание: </w:t>
      </w:r>
      <w:r w:rsidRPr="00FC133D">
        <w:rPr>
          <w:rFonts w:ascii="Times New Roman" w:eastAsia="Times New Roman" w:hAnsi="Times New Roman" w:cs="Times New Roman"/>
          <w:lang w:eastAsia="ru-RU"/>
        </w:rPr>
        <w:t>пункты </w:t>
      </w:r>
      <w:hyperlink r:id="rId10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FC133D">
          <w:rPr>
            <w:rFonts w:ascii="Times New Roman" w:eastAsia="Times New Roman" w:hAnsi="Times New Roman" w:cs="Times New Roman"/>
            <w:lang w:eastAsia="ru-RU"/>
          </w:rPr>
          <w:t>371</w:t>
        </w:r>
      </w:hyperlink>
      <w:r w:rsidRPr="00FC133D">
        <w:rPr>
          <w:rFonts w:ascii="Times New Roman" w:eastAsia="Times New Roman" w:hAnsi="Times New Roman" w:cs="Times New Roman"/>
          <w:lang w:eastAsia="ru-RU"/>
        </w:rPr>
        <w:t>, </w:t>
      </w:r>
      <w:hyperlink r:id="rId11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FC133D">
          <w:rPr>
            <w:rFonts w:ascii="Times New Roman" w:eastAsia="Times New Roman" w:hAnsi="Times New Roman" w:cs="Times New Roman"/>
            <w:lang w:eastAsia="ru-RU"/>
          </w:rPr>
          <w:t>372</w:t>
        </w:r>
      </w:hyperlink>
      <w:r w:rsidRPr="00FC133D">
        <w:rPr>
          <w:rFonts w:ascii="Times New Roman" w:eastAsia="Times New Roman" w:hAnsi="Times New Roman" w:cs="Times New Roman"/>
          <w:lang w:eastAsia="ru-RU"/>
        </w:rPr>
        <w:t xml:space="preserve"> Инструкции 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к Единому плану счетов № 157н).</w:t>
      </w:r>
    </w:p>
    <w:p w14:paraId="6DE21BC1" w14:textId="77777777" w:rsidR="009239F4" w:rsidRPr="00F633EB" w:rsidRDefault="009239F4" w:rsidP="00F475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                  Событие после отчетной даты.</w:t>
      </w:r>
    </w:p>
    <w:p w14:paraId="164FA969" w14:textId="0FBB5E76" w:rsidR="009239F4" w:rsidRPr="00F633EB" w:rsidRDefault="009239F4" w:rsidP="00F633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Событие после отчетной даты признается факт хозяйственной деятельности, кото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р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ый оказал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ся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или может оказать</w:t>
      </w:r>
      <w:r w:rsidR="00FC133D">
        <w:rPr>
          <w:rFonts w:ascii="Times New Roman" w:eastAsia="Times New Roman" w:hAnsi="Times New Roman" w:cs="Times New Roman"/>
          <w:color w:val="383838"/>
          <w:lang w:eastAsia="ru-RU"/>
        </w:rPr>
        <w:t>ся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влияние на финансовое состояние или результаты деятельности У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и который имел </w:t>
      </w:r>
      <w:r w:rsidR="00FC133D" w:rsidRPr="00F633EB">
        <w:rPr>
          <w:rFonts w:ascii="Times New Roman" w:eastAsia="Times New Roman" w:hAnsi="Times New Roman" w:cs="Times New Roman"/>
          <w:color w:val="383838"/>
          <w:lang w:eastAsia="ru-RU"/>
        </w:rPr>
        <w:t>место в период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отчетной даты и датой подписания бухгалтерской отчетности за отчетный год. События, которые подтверждают существовавшие на отчетную дату хозяйственные условия учреждения. События отражаются в регистрах бухгалтерского учета в последний день отчетного периода до заключительных операций по закрытию счетов.</w:t>
      </w:r>
    </w:p>
    <w:p w14:paraId="0922E303" w14:textId="0149DDEA" w:rsidR="009239F4" w:rsidRPr="00F633EB" w:rsidRDefault="00F4751E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 xml:space="preserve">                </w:t>
      </w:r>
      <w:r w:rsidR="009239F4"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Расходы будущих периодов, резервы.</w:t>
      </w:r>
    </w:p>
    <w:p w14:paraId="1A6B909B" w14:textId="77777777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В составе расходов будущих периодов учитываются затраты, которые начислены в текущем, но относятся к будущим отчетным периодам. При этом данные расходы списывают с помощью счета 40150000 «Расходы будущих периодов» ежемесячно равными частями в течение срока предоставления услуги.</w:t>
      </w:r>
    </w:p>
    <w:p w14:paraId="2B974BB9" w14:textId="6588316A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На этом счете учитываются затраты, связанные, с приобретением неисключительного права пользования в течение нескольких отчетных периодов нематериальными активами и иными аналогичными расходами.</w:t>
      </w:r>
    </w:p>
    <w:p w14:paraId="6640C1A2" w14:textId="77777777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В составе резервов предстоящих расходов учитываются предстоящие расходы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учреждения.</w:t>
      </w:r>
    </w:p>
    <w:p w14:paraId="5D51645A" w14:textId="1EF0E1A4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Оценочное обязательство в виде резерва на оплату отпусков за фактически отработанное время определяется ежегодно 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t>на первый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день текущего финансового года исходя из данных количества дней неиспользованного отпуска по сотрудникам на указанную дату, предоставленных кадровой службой.</w:t>
      </w:r>
    </w:p>
    <w:p w14:paraId="1683BE3E" w14:textId="77777777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При израсходовании суммы резерва отпусков до конца текущего финансового года и при наличии остатка дней резерва на количество этих дней, резерв необходимо до начислить по утвержденной методике.</w:t>
      </w:r>
    </w:p>
    <w:p w14:paraId="5726196D" w14:textId="77777777" w:rsidR="009239F4" w:rsidRPr="00F633EB" w:rsidRDefault="009239F4" w:rsidP="00F633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Формирование резервов отпусков производится ежегодно за фактически отработанное время, на последний рабочий день текущего финансового года.</w:t>
      </w:r>
    </w:p>
    <w:p w14:paraId="6BAA60AF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 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                Санкционирование расходов</w:t>
      </w:r>
    </w:p>
    <w:p w14:paraId="024BFD9C" w14:textId="77777777" w:rsidR="009239F4" w:rsidRPr="00F633EB" w:rsidRDefault="009239F4" w:rsidP="00F633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Учреждение принимает (денежные) обязательства в пределах доведенных лимитов обязательств. Операции по санкционированию обязательств принимаемых, принимаемых в текущем финансовом году учреждением, формируются с учетом принимаемых, принятых и неисполненных обязательств прошлого финансового года.</w:t>
      </w:r>
    </w:p>
    <w:p w14:paraId="384CE9AB" w14:textId="2A16CA67" w:rsidR="009239F4" w:rsidRDefault="009239F4" w:rsidP="00F633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По завершению финансового года показатели (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t>остатки) по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всем счетам санкционирования обязательств на следующий год не переносятся. 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Неисполненные обязательства (денежные) 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lastRenderedPageBreak/>
        <w:t>обязательства,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сформированные по результатам отчетного финансового года, подлежат 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t>перерегистрации в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году, в следующем за отчетным финансовым годом.</w:t>
      </w:r>
    </w:p>
    <w:p w14:paraId="3929CFE7" w14:textId="5E39D92C" w:rsidR="00F4751E" w:rsidRDefault="00F4751E" w:rsidP="00F4751E">
      <w:pPr>
        <w:spacing w:after="0" w:line="240" w:lineRule="auto"/>
        <w:rPr>
          <w:rFonts w:hAnsi="Times New Roman" w:cs="Times New Roman"/>
          <w:b/>
          <w:bCs/>
          <w:color w:val="000000"/>
        </w:rPr>
      </w:pPr>
      <w:r>
        <w:rPr>
          <w:rFonts w:hAnsi="Times New Roman" w:cs="Times New Roman"/>
          <w:b/>
          <w:bCs/>
          <w:color w:val="000000"/>
        </w:rPr>
        <w:t xml:space="preserve">                   </w:t>
      </w:r>
      <w:r w:rsidRPr="0037331F">
        <w:rPr>
          <w:rFonts w:hAnsi="Times New Roman" w:cs="Times New Roman"/>
          <w:b/>
          <w:bCs/>
          <w:color w:val="000000"/>
        </w:rPr>
        <w:t>Нематериальные</w:t>
      </w:r>
      <w:r w:rsidRPr="0037331F">
        <w:rPr>
          <w:rFonts w:hAnsi="Times New Roman" w:cs="Times New Roman"/>
          <w:b/>
          <w:bCs/>
          <w:color w:val="000000"/>
        </w:rPr>
        <w:t xml:space="preserve"> </w:t>
      </w:r>
      <w:r w:rsidRPr="0037331F">
        <w:rPr>
          <w:rFonts w:hAnsi="Times New Roman" w:cs="Times New Roman"/>
          <w:b/>
          <w:bCs/>
          <w:color w:val="000000"/>
        </w:rPr>
        <w:t>активы</w:t>
      </w:r>
    </w:p>
    <w:p w14:paraId="391D161D" w14:textId="059552E8" w:rsidR="00F4751E" w:rsidRPr="0037331F" w:rsidRDefault="00F4751E" w:rsidP="00F4751E">
      <w:pPr>
        <w:numPr>
          <w:ilvl w:val="0"/>
          <w:numId w:val="16"/>
        </w:numPr>
        <w:spacing w:after="0" w:line="240" w:lineRule="auto"/>
        <w:ind w:left="780" w:right="18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Начисление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амортизации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осуществляется</w:t>
      </w:r>
      <w:r>
        <w:rPr>
          <w:rFonts w:hAnsi="Times New Roman" w:cs="Times New Roman"/>
          <w:color w:val="000000"/>
        </w:rPr>
        <w:t xml:space="preserve"> </w:t>
      </w:r>
      <w:r w:rsidRPr="0037331F">
        <w:rPr>
          <w:rFonts w:hAnsi="Times New Roman" w:cs="Times New Roman"/>
          <w:color w:val="000000"/>
        </w:rPr>
        <w:t>линейным</w:t>
      </w:r>
      <w:r w:rsidRPr="0037331F">
        <w:rPr>
          <w:rFonts w:hAnsi="Times New Roman" w:cs="Times New Roman"/>
          <w:color w:val="000000"/>
        </w:rPr>
        <w:t xml:space="preserve"> </w:t>
      </w:r>
      <w:r w:rsidRPr="0037331F">
        <w:rPr>
          <w:rFonts w:hAnsi="Times New Roman" w:cs="Times New Roman"/>
          <w:color w:val="000000"/>
        </w:rPr>
        <w:t>методом</w:t>
      </w:r>
      <w:r w:rsidRPr="0037331F">
        <w:rPr>
          <w:rFonts w:hAnsi="Times New Roman" w:cs="Times New Roman"/>
          <w:color w:val="000000"/>
        </w:rPr>
        <w:t xml:space="preserve"> </w:t>
      </w:r>
    </w:p>
    <w:p w14:paraId="79AD0E1A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               Налоговый учет.</w:t>
      </w:r>
    </w:p>
    <w:p w14:paraId="7F02E923" w14:textId="77777777" w:rsidR="009239F4" w:rsidRPr="00F633EB" w:rsidRDefault="009239F4" w:rsidP="00F633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Налог на прибыль. В состав доходов и расходов, включаемых в налоговую базу, не учитываются доходы, полученные в виде средств целевого финансирования и целевых поступлений на содержание и ведение уставной деятельности, финансируемые за счет средств бюджетов всех уровней, и расходы, производимые за счет этих средств. Доходы и расходы признаются в том отчетном периоде, в котором они имели место, независимо от фактического поступления денежных средств (метод начисления).</w:t>
      </w:r>
    </w:p>
    <w:p w14:paraId="2DB6E0EC" w14:textId="13B37DF9" w:rsidR="009239F4" w:rsidRPr="00EC487B" w:rsidRDefault="009239F4" w:rsidP="00F633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Налог </w:t>
      </w:r>
      <w:r w:rsidR="00FA6E9F" w:rsidRPr="00F633EB">
        <w:rPr>
          <w:rFonts w:ascii="Times New Roman" w:eastAsia="Times New Roman" w:hAnsi="Times New Roman" w:cs="Times New Roman"/>
          <w:color w:val="383838"/>
          <w:lang w:eastAsia="ru-RU"/>
        </w:rPr>
        <w:t>на добавленную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стоимость. </w:t>
      </w:r>
      <w:r w:rsidR="00F633EB" w:rsidRPr="00F633EB">
        <w:rPr>
          <w:rFonts w:ascii="Times New Roman" w:eastAsiaTheme="minorEastAsia" w:hAnsi="Times New Roman" w:cs="Times New Roman"/>
        </w:rPr>
        <w:t xml:space="preserve">Право на освобождение от обложения НДС на основании </w:t>
      </w:r>
      <w:hyperlink w:tgtFrame="_blank" w:history="1">
        <w:r w:rsidR="00F633EB" w:rsidRPr="00EC487B">
          <w:rPr>
            <w:rStyle w:val="a4"/>
            <w:rFonts w:ascii="Times New Roman" w:eastAsiaTheme="minorEastAsia" w:hAnsi="Times New Roman" w:cs="Times New Roman"/>
            <w:color w:val="auto"/>
            <w:u w:val="none"/>
          </w:rPr>
          <w:t>ст. 145 НК РФ</w:t>
        </w:r>
      </w:hyperlink>
      <w:r w:rsidRPr="00EC487B">
        <w:rPr>
          <w:rFonts w:ascii="Times New Roman" w:eastAsia="Times New Roman" w:hAnsi="Times New Roman" w:cs="Times New Roman"/>
          <w:lang w:eastAsia="ru-RU"/>
        </w:rPr>
        <w:t>. </w:t>
      </w:r>
    </w:p>
    <w:p w14:paraId="5BDF854A" w14:textId="49DB8293" w:rsidR="009239F4" w:rsidRPr="00F633EB" w:rsidRDefault="009239F4" w:rsidP="00F633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Налог на имущество организаций. В соответствии с Налоговым кодексом РФ ст. 373 У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чреждение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является плательщиком данного налога. Согласно ст.374 Налоговым кодексом РФ объектами налогообложения для организаций </w:t>
      </w:r>
      <w:r w:rsidR="00FA6E9F" w:rsidRPr="00F633EB">
        <w:rPr>
          <w:rFonts w:ascii="Times New Roman" w:eastAsia="Times New Roman" w:hAnsi="Times New Roman" w:cs="Times New Roman"/>
          <w:color w:val="383838"/>
          <w:lang w:eastAsia="ru-RU"/>
        </w:rPr>
        <w:t>недвижимое имущество,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учитываемое на балансе.</w:t>
      </w:r>
    </w:p>
    <w:p w14:paraId="290953A2" w14:textId="6FA9E31C" w:rsidR="009239F4" w:rsidRPr="00F633EB" w:rsidRDefault="009239F4" w:rsidP="00F633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Земельный налог. Согласно решения Городской Думы </w:t>
      </w:r>
      <w:r w:rsidR="00EC487B" w:rsidRPr="00F633EB">
        <w:rPr>
          <w:rFonts w:ascii="Times New Roman" w:eastAsia="Times New Roman" w:hAnsi="Times New Roman" w:cs="Times New Roman"/>
          <w:color w:val="383838"/>
          <w:lang w:eastAsia="ru-RU"/>
        </w:rPr>
        <w:t>г. Таганрога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№266 от 29.11.2016 г. У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>чреждение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является плательщиком земельного налога.  Объектом налогообложения является кадастровая стоимость земельных участков.</w:t>
      </w:r>
    </w:p>
    <w:p w14:paraId="65DA28F8" w14:textId="77777777" w:rsidR="009239F4" w:rsidRPr="00F633EB" w:rsidRDefault="009239F4" w:rsidP="00F633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                Б</w:t>
      </w:r>
      <w:r w:rsidR="00F633EB"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ухгалтерская</w:t>
      </w:r>
      <w:r w:rsidRPr="00F633EB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 xml:space="preserve"> отчетность</w:t>
      </w:r>
    </w:p>
    <w:p w14:paraId="7D6297FE" w14:textId="77777777" w:rsidR="009239F4" w:rsidRPr="00F633EB" w:rsidRDefault="009239F4" w:rsidP="00F633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>ухгалтерская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отчетность составляется на основании аналитического и синтетического учета по формам, в объеме и в сроки, установленные 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>У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правлением</w:t>
      </w:r>
      <w:r w:rsidR="00F633EB"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культуры</w:t>
      </w: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 xml:space="preserve"> и бюджетным законодательством </w:t>
      </w:r>
      <w:r w:rsidRPr="00EC487B">
        <w:rPr>
          <w:rFonts w:ascii="Times New Roman" w:eastAsia="Times New Roman" w:hAnsi="Times New Roman" w:cs="Times New Roman"/>
          <w:lang w:eastAsia="ru-RU"/>
        </w:rPr>
        <w:t>(</w:t>
      </w:r>
      <w:hyperlink r:id="rId12" w:anchor="/document/99/902254657/" w:history="1">
        <w:r w:rsidR="00F633EB" w:rsidRPr="00EC487B">
          <w:rPr>
            <w:rFonts w:ascii="Times New Roman" w:eastAsia="Times New Roman" w:hAnsi="Times New Roman" w:cs="Times New Roman"/>
            <w:lang w:eastAsia="ru-RU"/>
          </w:rPr>
          <w:t>приказ Минфина России от 25 марта 2011 № 33н</w:t>
        </w:r>
      </w:hyperlink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).</w:t>
      </w:r>
    </w:p>
    <w:p w14:paraId="4A6DECAD" w14:textId="77777777" w:rsidR="009239F4" w:rsidRPr="00F633EB" w:rsidRDefault="009239F4" w:rsidP="00F633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F633EB">
        <w:rPr>
          <w:rFonts w:ascii="Times New Roman" w:eastAsia="Times New Roman" w:hAnsi="Times New Roman" w:cs="Times New Roman"/>
          <w:color w:val="383838"/>
          <w:lang w:eastAsia="ru-RU"/>
        </w:rPr>
        <w:t>Бухгалтерская отчетность представляется главному распорядителю бюджетных средств в установленные им сроки.</w:t>
      </w:r>
    </w:p>
    <w:p w14:paraId="761D76FF" w14:textId="77777777" w:rsidR="004547A8" w:rsidRPr="00F633EB" w:rsidRDefault="004547A8" w:rsidP="00F633EB">
      <w:pPr>
        <w:spacing w:line="240" w:lineRule="auto"/>
        <w:rPr>
          <w:rFonts w:ascii="Times New Roman" w:hAnsi="Times New Roman" w:cs="Times New Roman"/>
        </w:rPr>
      </w:pPr>
    </w:p>
    <w:sectPr w:rsidR="004547A8" w:rsidRPr="00F633EB" w:rsidSect="00923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FA5"/>
    <w:multiLevelType w:val="multilevel"/>
    <w:tmpl w:val="34D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142F"/>
    <w:multiLevelType w:val="multilevel"/>
    <w:tmpl w:val="15F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91474"/>
    <w:multiLevelType w:val="multilevel"/>
    <w:tmpl w:val="924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B443E"/>
    <w:multiLevelType w:val="multilevel"/>
    <w:tmpl w:val="641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94926"/>
    <w:multiLevelType w:val="multilevel"/>
    <w:tmpl w:val="EA8E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D7E2D"/>
    <w:multiLevelType w:val="multilevel"/>
    <w:tmpl w:val="ABE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21E69"/>
    <w:multiLevelType w:val="multilevel"/>
    <w:tmpl w:val="B7F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C3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21846"/>
    <w:multiLevelType w:val="multilevel"/>
    <w:tmpl w:val="FB5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C3151"/>
    <w:multiLevelType w:val="multilevel"/>
    <w:tmpl w:val="72E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D1995"/>
    <w:multiLevelType w:val="multilevel"/>
    <w:tmpl w:val="608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F3FE3"/>
    <w:multiLevelType w:val="multilevel"/>
    <w:tmpl w:val="60D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34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F6EB4"/>
    <w:multiLevelType w:val="multilevel"/>
    <w:tmpl w:val="5D0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90770"/>
    <w:multiLevelType w:val="multilevel"/>
    <w:tmpl w:val="29B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92321"/>
    <w:multiLevelType w:val="multilevel"/>
    <w:tmpl w:val="BEB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13"/>
    <w:rsid w:val="00402EB2"/>
    <w:rsid w:val="004547A8"/>
    <w:rsid w:val="009239F4"/>
    <w:rsid w:val="00E81F13"/>
    <w:rsid w:val="00EC487B"/>
    <w:rsid w:val="00F4751E"/>
    <w:rsid w:val="00F633EB"/>
    <w:rsid w:val="00FA6E9F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245"/>
  <w15:docId w15:val="{0AD2866B-EE5D-4BF9-9474-D49F3D8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9F4"/>
    <w:rPr>
      <w:color w:val="0000FF"/>
      <w:u w:val="single"/>
    </w:rPr>
  </w:style>
  <w:style w:type="character" w:styleId="a5">
    <w:name w:val="Strong"/>
    <w:basedOn w:val="a0"/>
    <w:uiPriority w:val="22"/>
    <w:qFormat/>
    <w:rsid w:val="009239F4"/>
    <w:rPr>
      <w:b/>
      <w:bCs/>
    </w:rPr>
  </w:style>
  <w:style w:type="character" w:styleId="a6">
    <w:name w:val="Emphasis"/>
    <w:basedOn w:val="a0"/>
    <w:uiPriority w:val="20"/>
    <w:qFormat/>
    <w:rsid w:val="00923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12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11" Type="http://schemas.openxmlformats.org/officeDocument/2006/relationships/hyperlink" Target="http://vip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Админ</cp:lastModifiedBy>
  <cp:revision>4</cp:revision>
  <dcterms:created xsi:type="dcterms:W3CDTF">2019-04-14T20:23:00Z</dcterms:created>
  <dcterms:modified xsi:type="dcterms:W3CDTF">2021-01-13T13:27:00Z</dcterms:modified>
</cp:coreProperties>
</file>